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C47F5" w14:textId="7FD40EE0" w:rsidR="00AA3FAE" w:rsidRPr="00A26D85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 w:rsidR="0036380C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-e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R3-2</w:t>
      </w:r>
      <w:r w:rsid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1</w:t>
      </w:r>
      <w:r w:rsidR="00090C0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2164</w:t>
      </w:r>
    </w:p>
    <w:p w14:paraId="4BF14776" w14:textId="210C51C9" w:rsidR="00AA3FAE" w:rsidRPr="00AA3FAE" w:rsidRDefault="00A26D85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Online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D730A4">
        <w:rPr>
          <w:rFonts w:ascii="Arial" w:eastAsia="宋体" w:hAnsi="Arial" w:cs="黑体"/>
          <w:b/>
          <w:bCs/>
          <w:noProof/>
          <w:kern w:val="0"/>
          <w:sz w:val="24"/>
        </w:rPr>
        <w:t>17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– </w:t>
      </w:r>
      <w:r w:rsidR="00D730A4">
        <w:rPr>
          <w:rFonts w:ascii="Arial" w:eastAsia="宋体" w:hAnsi="Arial" w:cs="黑体"/>
          <w:b/>
          <w:bCs/>
          <w:noProof/>
          <w:kern w:val="0"/>
          <w:sz w:val="24"/>
        </w:rPr>
        <w:t>28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D730A4">
        <w:rPr>
          <w:rFonts w:ascii="Arial" w:eastAsia="宋体" w:hAnsi="Arial" w:cs="黑体"/>
          <w:b/>
          <w:bCs/>
          <w:noProof/>
          <w:kern w:val="0"/>
          <w:sz w:val="24"/>
        </w:rPr>
        <w:t>May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2021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024F6252" w14:textId="05666F54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36380C" w:rsidRPr="0036380C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Remaining issue</w:t>
      </w:r>
      <w:r w:rsidR="00BC3B4F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s</w:t>
      </w:r>
      <w:r w:rsidR="0036380C" w:rsidRPr="0036380C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for IAB inter-</w:t>
      </w:r>
      <w:r w:rsidR="00BE3D97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donor</w:t>
      </w:r>
      <w:r w:rsidR="0036380C" w:rsidRPr="0036380C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migration</w:t>
      </w:r>
    </w:p>
    <w:p w14:paraId="3A7B9F35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Lenovo, Motorola Mobility</w:t>
      </w:r>
    </w:p>
    <w:p w14:paraId="33978FAB" w14:textId="74C97336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0566E1"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13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</w:t>
      </w:r>
      <w:r w:rsidR="00035328"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</w:t>
      </w:r>
      <w:r w:rsidR="00D730A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1</w:t>
      </w:r>
      <w:r w:rsidR="00DB41E0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.1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0219912A" w14:textId="59505307" w:rsidR="000566E1" w:rsidRDefault="00BC28D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In R16, IAB i</w:t>
      </w:r>
      <w:r w:rsidR="007415A4">
        <w:rPr>
          <w:rFonts w:ascii="Times New Roman" w:eastAsia="宋体" w:hAnsi="Times New Roman" w:cs="Times New Roman"/>
          <w:kern w:val="0"/>
          <w:sz w:val="20"/>
          <w:szCs w:val="20"/>
        </w:rPr>
        <w:t>ntra-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donor</w:t>
      </w:r>
      <w:r w:rsidR="007415A4">
        <w:rPr>
          <w:rFonts w:ascii="Times New Roman" w:eastAsia="宋体" w:hAnsi="Times New Roman" w:cs="Times New Roman"/>
          <w:kern w:val="0"/>
          <w:sz w:val="20"/>
          <w:szCs w:val="20"/>
        </w:rPr>
        <w:t xml:space="preserve"> migration has been specified</w:t>
      </w:r>
      <w:r w:rsidR="004B28D8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B28D8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nd </w:t>
      </w:r>
      <w:r w:rsidR="004B28D8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the R17 the scenario has been extended to inter-donor migration which is the key feature of the IAB R17. After discussion by three e-meetings, the procedure of the IAB </w:t>
      </w:r>
      <w:r w:rsidR="004B28D8" w:rsidRPr="004B28D8">
        <w:rPr>
          <w:rFonts w:ascii="Times New Roman" w:eastAsia="宋体" w:hAnsi="Times New Roman" w:cs="Times New Roman"/>
          <w:kern w:val="0"/>
          <w:sz w:val="20"/>
          <w:szCs w:val="20"/>
        </w:rPr>
        <w:t>inter-donor migration</w:t>
      </w:r>
      <w:r w:rsidR="004B28D8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becomes more and more clear, and some phased agreements have been achieved in the last RAN3 111-e meeting</w:t>
      </w:r>
      <w:r w:rsidR="000B7397">
        <w:rPr>
          <w:rFonts w:ascii="Times New Roman" w:eastAsia="宋体" w:hAnsi="Times New Roman" w:cs="Times New Roman"/>
          <w:kern w:val="0"/>
          <w:sz w:val="20"/>
          <w:szCs w:val="20"/>
        </w:rPr>
        <w:t xml:space="preserve"> [1]</w:t>
      </w:r>
      <w:r w:rsidR="004B28D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pPr w:leftFromText="180" w:rightFromText="180" w:vertAnchor="text" w:tblpX="11" w:tblpY="171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3A5735" w14:paraId="3D5C1E04" w14:textId="77777777" w:rsidTr="00073FB6">
        <w:trPr>
          <w:trHeight w:val="3676"/>
        </w:trPr>
        <w:tc>
          <w:tcPr>
            <w:tcW w:w="9670" w:type="dxa"/>
          </w:tcPr>
          <w:p w14:paraId="71817B4D" w14:textId="3F2BE169" w:rsidR="003A5735" w:rsidRDefault="003A5735" w:rsidP="003A5735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</w:t>
            </w:r>
            <w:r w:rsidR="007415A4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-e</w:t>
            </w:r>
            <w:r w:rsidR="00C3148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</w:p>
          <w:p w14:paraId="54775864" w14:textId="77777777" w:rsidR="007415A4" w:rsidRPr="007415A4" w:rsidRDefault="007415A4" w:rsidP="007415A4">
            <w:pPr>
              <w:ind w:left="144" w:hanging="144"/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</w:pPr>
            <w:r w:rsidRPr="007415A4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>For a single-connected IAB-MT:</w:t>
            </w:r>
          </w:p>
          <w:p w14:paraId="0186C601" w14:textId="77777777" w:rsidR="007415A4" w:rsidRPr="007415A4" w:rsidRDefault="007415A4" w:rsidP="007415A4">
            <w:pPr>
              <w:ind w:left="144" w:hanging="144"/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</w:pPr>
            <w:r w:rsidRPr="007415A4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>The procedure for inter-donor migration of a (top-level) migrating IAB-MT supports:</w:t>
            </w:r>
          </w:p>
          <w:p w14:paraId="2A66C764" w14:textId="77777777" w:rsidR="007415A4" w:rsidRPr="007415A4" w:rsidRDefault="007415A4" w:rsidP="007415A4">
            <w:pPr>
              <w:ind w:left="144" w:hanging="144"/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</w:pPr>
            <w:r w:rsidRPr="007415A4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 xml:space="preserve">- reuse </w:t>
            </w:r>
            <w:proofErr w:type="spellStart"/>
            <w:r w:rsidRPr="007415A4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>Xn</w:t>
            </w:r>
            <w:proofErr w:type="spellEnd"/>
            <w:r w:rsidRPr="007415A4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 xml:space="preserve"> handover procedure of the (top-level) migrating IAB-MT between two parent nodes connected to different IAB-donors, and</w:t>
            </w:r>
          </w:p>
          <w:p w14:paraId="43FC158E" w14:textId="77777777" w:rsidR="007415A4" w:rsidRPr="007415A4" w:rsidRDefault="007415A4" w:rsidP="007415A4">
            <w:pPr>
              <w:ind w:left="144" w:hanging="144"/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</w:pPr>
            <w:r w:rsidRPr="007415A4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>- the migration of F1 transport path for the collocated and all descendent IAB-DUs (i.e. the anchor nodes for the logical F1 connection do not change)</w:t>
            </w:r>
          </w:p>
          <w:p w14:paraId="38D3BFD7" w14:textId="77777777" w:rsidR="007415A4" w:rsidRPr="007415A4" w:rsidRDefault="007415A4" w:rsidP="007415A4">
            <w:pPr>
              <w:ind w:left="144" w:hanging="144"/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</w:pPr>
            <w:r w:rsidRPr="007415A4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>Inter-donor migration may terminate after top-level IAB-MT migration</w:t>
            </w:r>
          </w:p>
          <w:p w14:paraId="2E7375C5" w14:textId="77777777" w:rsidR="007415A4" w:rsidRPr="007415A4" w:rsidRDefault="007415A4" w:rsidP="007415A4">
            <w:pPr>
              <w:ind w:left="144" w:hanging="144"/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</w:pPr>
          </w:p>
          <w:p w14:paraId="1E79D82A" w14:textId="77777777" w:rsidR="007415A4" w:rsidRPr="007415A4" w:rsidRDefault="007415A4" w:rsidP="007415A4">
            <w:pPr>
              <w:ind w:left="144" w:hanging="144"/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</w:pPr>
            <w:r w:rsidRPr="007415A4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>WA:</w:t>
            </w:r>
          </w:p>
          <w:p w14:paraId="436695AE" w14:textId="77777777" w:rsidR="007415A4" w:rsidRPr="007415A4" w:rsidRDefault="007415A4" w:rsidP="007415A4">
            <w:pPr>
              <w:ind w:left="144" w:hanging="144"/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</w:pPr>
            <w:r w:rsidRPr="007415A4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>migration of collocated IAB-DU after the migration of the (top-level) migrating IAB-MT, is not precluded</w:t>
            </w:r>
          </w:p>
          <w:p w14:paraId="5189068E" w14:textId="77777777" w:rsidR="007415A4" w:rsidRPr="007415A4" w:rsidRDefault="007415A4" w:rsidP="007415A4">
            <w:pPr>
              <w:ind w:left="144" w:hanging="144"/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</w:pPr>
            <w:r w:rsidRPr="007415A4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 xml:space="preserve">If collocated IAB-DU is migrated, the Inter-donor migration procedure involves, among others: </w:t>
            </w:r>
          </w:p>
          <w:p w14:paraId="10CD6755" w14:textId="77777777" w:rsidR="007415A4" w:rsidRPr="007415A4" w:rsidRDefault="007415A4" w:rsidP="007415A4">
            <w:pPr>
              <w:ind w:left="144" w:hanging="144"/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</w:pPr>
            <w:r w:rsidRPr="007415A4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 xml:space="preserve">- the establishment of an F1-C association to the target donor, and </w:t>
            </w:r>
          </w:p>
          <w:p w14:paraId="2E4F9035" w14:textId="3301D104" w:rsidR="003A5735" w:rsidRPr="007415A4" w:rsidRDefault="007415A4" w:rsidP="007415A4">
            <w:pPr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7415A4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>- the context migration of the IAB-DU’s UEs and child IAB-MTs to the target CU.</w:t>
            </w:r>
          </w:p>
        </w:tc>
      </w:tr>
    </w:tbl>
    <w:p w14:paraId="7708A6CC" w14:textId="2D5DD2D8" w:rsidR="000566E1" w:rsidRPr="003A4A2A" w:rsidRDefault="00C31487" w:rsidP="003A4A2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DE67F4">
        <w:rPr>
          <w:rFonts w:ascii="Times New Roman" w:eastAsia="宋体" w:hAnsi="Times New Roman" w:cs="Times New Roman"/>
          <w:kern w:val="0"/>
          <w:sz w:val="20"/>
          <w:szCs w:val="20"/>
        </w:rPr>
        <w:t xml:space="preserve">some aspects for </w:t>
      </w:r>
      <w:r w:rsidR="00BE3D97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 </w:t>
      </w:r>
      <w:r w:rsidR="00F67B2B">
        <w:rPr>
          <w:rFonts w:ascii="Times New Roman" w:eastAsia="宋体" w:hAnsi="Times New Roman" w:cs="Times New Roman"/>
          <w:kern w:val="0"/>
          <w:sz w:val="20"/>
          <w:szCs w:val="20"/>
        </w:rPr>
        <w:t>inter-</w:t>
      </w:r>
      <w:r w:rsidR="00D84224">
        <w:rPr>
          <w:rFonts w:ascii="Times New Roman" w:eastAsia="宋体" w:hAnsi="Times New Roman" w:cs="Times New Roman"/>
          <w:kern w:val="0"/>
          <w:sz w:val="20"/>
          <w:szCs w:val="20"/>
        </w:rPr>
        <w:t>donor</w:t>
      </w:r>
      <w:r w:rsidR="00F67B2B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BE3D97">
        <w:rPr>
          <w:rFonts w:ascii="Times New Roman" w:eastAsia="宋体" w:hAnsi="Times New Roman" w:cs="Times New Roman"/>
          <w:kern w:val="0"/>
          <w:sz w:val="20"/>
          <w:szCs w:val="20"/>
        </w:rPr>
        <w:t>migration</w:t>
      </w:r>
      <w:r w:rsidR="00D104F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9098B">
        <w:rPr>
          <w:rFonts w:ascii="Times New Roman" w:eastAsia="宋体" w:hAnsi="Times New Roman" w:cs="Times New Roman"/>
          <w:kern w:val="0"/>
          <w:sz w:val="20"/>
          <w:szCs w:val="20"/>
        </w:rPr>
        <w:t>are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further </w:t>
      </w:r>
      <w:r w:rsidR="00F67B2B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discussed, including </w:t>
      </w:r>
      <w:r w:rsidR="00BE3D97">
        <w:rPr>
          <w:rFonts w:ascii="Times New Roman" w:eastAsia="宋体" w:hAnsi="Times New Roman" w:cs="Times New Roman"/>
          <w:kern w:val="0"/>
          <w:sz w:val="20"/>
          <w:szCs w:val="20"/>
        </w:rPr>
        <w:t>resource collision, UL routing and bearer mapping for the migrating IAB node</w:t>
      </w:r>
      <w:r w:rsidR="00F910F0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632DBC23" w14:textId="5E95CEAB" w:rsidR="00D84224" w:rsidRDefault="00CC0392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CC0392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Resource collision between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migration</w:t>
      </w:r>
      <w:r w:rsidRPr="00CC0392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IAB-MT and IAB-DU</w:t>
      </w:r>
      <w:bookmarkStart w:id="2" w:name="_Hlk61340321"/>
    </w:p>
    <w:p w14:paraId="58DDB0A6" w14:textId="5DD01A45" w:rsidR="00AA03A0" w:rsidRDefault="003D66D4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ased on the agreements above, i</w:t>
      </w:r>
      <w:r w:rsidRPr="003D66D4">
        <w:rPr>
          <w:rFonts w:ascii="Times New Roman" w:eastAsia="宋体" w:hAnsi="Times New Roman" w:cs="Times New Roman"/>
          <w:kern w:val="0"/>
          <w:sz w:val="20"/>
          <w:szCs w:val="20"/>
        </w:rPr>
        <w:t>nter-donor migration may terminate after top-level IAB-MT migration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as shown in the right part of Figure 1</w:t>
      </w:r>
      <w:r w:rsidR="000507C7">
        <w:rPr>
          <w:rFonts w:ascii="Times New Roman" w:eastAsia="宋体" w:hAnsi="Times New Roman" w:cs="Times New Roman"/>
          <w:kern w:val="0"/>
          <w:sz w:val="20"/>
          <w:szCs w:val="20"/>
        </w:rPr>
        <w:t xml:space="preserve"> [2]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At this stage, IAB-MT3 has migrated to </w:t>
      </w:r>
      <w:r w:rsidR="00E713D6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topology of CU2 and establishes the RRC connection with CU2. While the F1 connections of IAB-DU3 and IAB-DU of descendent IAB node</w:t>
      </w:r>
      <w:r w:rsidR="002D6BE4">
        <w:rPr>
          <w:rFonts w:ascii="Times New Roman" w:eastAsia="宋体" w:hAnsi="Times New Roman" w:cs="Times New Roman"/>
          <w:kern w:val="0"/>
          <w:sz w:val="20"/>
          <w:szCs w:val="20"/>
        </w:rPr>
        <w:t>(</w:t>
      </w:r>
      <w:r w:rsidR="002D6BE4">
        <w:rPr>
          <w:rFonts w:ascii="Times New Roman" w:eastAsia="宋体" w:hAnsi="Times New Roman" w:cs="Times New Roman" w:hint="eastAsia"/>
          <w:kern w:val="0"/>
          <w:sz w:val="20"/>
          <w:szCs w:val="20"/>
        </w:rPr>
        <w:t>s</w:t>
      </w:r>
      <w:r w:rsidR="002D6BE4">
        <w:rPr>
          <w:rFonts w:ascii="Times New Roman" w:eastAsia="宋体" w:hAnsi="Times New Roman" w:cs="Times New Roman"/>
          <w:kern w:val="0"/>
          <w:sz w:val="20"/>
          <w:szCs w:val="20"/>
        </w:rPr>
        <w:t>)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still terminate at source CU1 even though the F1 messages need to be transport</w:t>
      </w:r>
      <w:r w:rsidR="002D6BE4">
        <w:rPr>
          <w:rFonts w:ascii="Times New Roman" w:eastAsia="宋体" w:hAnsi="Times New Roman" w:cs="Times New Roman"/>
          <w:kern w:val="0"/>
          <w:sz w:val="20"/>
          <w:szCs w:val="20"/>
        </w:rPr>
        <w:t>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target path.</w:t>
      </w:r>
    </w:p>
    <w:p w14:paraId="6DA8F9E6" w14:textId="0FE4B103" w:rsidR="00E713D6" w:rsidRDefault="00E713D6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H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owever, since IAB-MT3 and IAB-DU3 are under the control of different IAB-donor</w:t>
      </w:r>
      <w:r w:rsidR="00C03CDD">
        <w:rPr>
          <w:rFonts w:ascii="Times New Roman" w:eastAsia="宋体" w:hAnsi="Times New Roman" w:cs="Times New Roman"/>
          <w:kern w:val="0"/>
          <w:sz w:val="20"/>
          <w:szCs w:val="20"/>
        </w:rPr>
        <w:t>-CUs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 </w:t>
      </w:r>
      <w:r w:rsidR="00BD6E1F" w:rsidRPr="00BD6E1F">
        <w:rPr>
          <w:rFonts w:ascii="Times New Roman" w:eastAsia="宋体" w:hAnsi="Times New Roman" w:cs="Times New Roman"/>
          <w:kern w:val="0"/>
          <w:sz w:val="20"/>
          <w:szCs w:val="20"/>
        </w:rPr>
        <w:t xml:space="preserve">resource configuration of the </w:t>
      </w:r>
      <w:r w:rsidR="00BD6E1F">
        <w:rPr>
          <w:rFonts w:ascii="Times New Roman" w:eastAsia="宋体" w:hAnsi="Times New Roman" w:cs="Times New Roman"/>
          <w:kern w:val="0"/>
          <w:sz w:val="20"/>
          <w:szCs w:val="20"/>
        </w:rPr>
        <w:t>IAB-</w:t>
      </w:r>
      <w:r w:rsidR="00BD6E1F" w:rsidRPr="00BD6E1F">
        <w:rPr>
          <w:rFonts w:ascii="Times New Roman" w:eastAsia="宋体" w:hAnsi="Times New Roman" w:cs="Times New Roman"/>
          <w:kern w:val="0"/>
          <w:sz w:val="20"/>
          <w:szCs w:val="20"/>
        </w:rPr>
        <w:t>MT</w:t>
      </w:r>
      <w:r w:rsidR="00BD6E1F">
        <w:rPr>
          <w:rFonts w:ascii="Times New Roman" w:eastAsia="宋体" w:hAnsi="Times New Roman" w:cs="Times New Roman"/>
          <w:kern w:val="0"/>
          <w:sz w:val="20"/>
          <w:szCs w:val="20"/>
        </w:rPr>
        <w:t>3</w:t>
      </w:r>
      <w:r w:rsidR="00BD6E1F" w:rsidRPr="00BD6E1F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generated by the target parent IAB node</w:t>
      </w:r>
      <w:r w:rsidR="00BD6E1F">
        <w:rPr>
          <w:rFonts w:ascii="Times New Roman" w:eastAsia="宋体" w:hAnsi="Times New Roman" w:cs="Times New Roman"/>
          <w:kern w:val="0"/>
          <w:sz w:val="20"/>
          <w:szCs w:val="20"/>
        </w:rPr>
        <w:t xml:space="preserve">, while the </w:t>
      </w:r>
      <w:r w:rsidR="00BD6E1F" w:rsidRPr="00BD6E1F">
        <w:rPr>
          <w:rFonts w:ascii="Times New Roman" w:eastAsia="宋体" w:hAnsi="Times New Roman" w:cs="Times New Roman"/>
          <w:kern w:val="0"/>
          <w:sz w:val="20"/>
          <w:szCs w:val="20"/>
        </w:rPr>
        <w:t xml:space="preserve">resource configuration of the </w:t>
      </w:r>
      <w:r w:rsidR="00BD6E1F">
        <w:rPr>
          <w:rFonts w:ascii="Times New Roman" w:eastAsia="宋体" w:hAnsi="Times New Roman" w:cs="Times New Roman"/>
          <w:kern w:val="0"/>
          <w:sz w:val="20"/>
          <w:szCs w:val="20"/>
        </w:rPr>
        <w:t>IAB-</w:t>
      </w:r>
      <w:r w:rsidR="00BD6E1F" w:rsidRPr="00BD6E1F">
        <w:rPr>
          <w:rFonts w:ascii="Times New Roman" w:eastAsia="宋体" w:hAnsi="Times New Roman" w:cs="Times New Roman"/>
          <w:kern w:val="0"/>
          <w:sz w:val="20"/>
          <w:szCs w:val="20"/>
        </w:rPr>
        <w:t>DU</w:t>
      </w:r>
      <w:r w:rsidR="00BD6E1F">
        <w:rPr>
          <w:rFonts w:ascii="Times New Roman" w:eastAsia="宋体" w:hAnsi="Times New Roman" w:cs="Times New Roman"/>
          <w:kern w:val="0"/>
          <w:sz w:val="20"/>
          <w:szCs w:val="20"/>
        </w:rPr>
        <w:t>3</w:t>
      </w:r>
      <w:r w:rsidR="00BD6E1F" w:rsidRPr="00BD6E1F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generated by the source IAB donor.</w:t>
      </w:r>
    </w:p>
    <w:p w14:paraId="38FE42E1" w14:textId="202A6794" w:rsidR="00BD6E1F" w:rsidRPr="00E713D6" w:rsidRDefault="00E713D6" w:rsidP="00E713D6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713D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Observation 1: For the IAB node which MT and DU subject to different IAB-donor</w:t>
      </w:r>
      <w:r w:rsid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-CU</w:t>
      </w:r>
      <w:r w:rsidRPr="00E713D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s, the </w:t>
      </w:r>
      <w:bookmarkStart w:id="3" w:name="OLE_LINK17"/>
      <w:bookmarkStart w:id="4" w:name="OLE_LINK18"/>
      <w:r w:rsidRPr="00E713D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resource configuration of</w:t>
      </w:r>
      <w:bookmarkEnd w:id="3"/>
      <w:bookmarkEnd w:id="4"/>
      <w:r w:rsidRPr="00E713D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MT is generated by the target parent IAB node, while the resource configuration of the DU is generated by the source IAB donor.</w:t>
      </w:r>
    </w:p>
    <w:p w14:paraId="70096141" w14:textId="44217185" w:rsidR="00BD6E1F" w:rsidRDefault="00BD6E1F" w:rsidP="00E713D6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addition, the </w:t>
      </w:r>
      <w:r w:rsidRPr="00BD6E1F">
        <w:rPr>
          <w:rFonts w:ascii="Times New Roman" w:eastAsia="宋体" w:hAnsi="Times New Roman" w:cs="Times New Roman"/>
          <w:kern w:val="0"/>
          <w:sz w:val="20"/>
          <w:szCs w:val="20"/>
        </w:rPr>
        <w:t xml:space="preserve">resource configuration of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IAB-MT3 and IAB-DU3 need to meet the multiplexing capability of the IAB node. </w:t>
      </w:r>
      <w:r w:rsidR="00405DD1">
        <w:rPr>
          <w:rFonts w:ascii="Times New Roman" w:eastAsia="宋体" w:hAnsi="Times New Roman" w:cs="Times New Roman"/>
          <w:kern w:val="0"/>
          <w:sz w:val="20"/>
          <w:szCs w:val="20"/>
        </w:rPr>
        <w:t>Therefore, once either the IAB-MT or the IAB-DU updates its resource configuration, the peer side needs to update the resource configuration accordingly.</w:t>
      </w:r>
    </w:p>
    <w:p w14:paraId="07D636D4" w14:textId="400216DE" w:rsidR="00446E30" w:rsidRPr="00446E30" w:rsidRDefault="00405DD1" w:rsidP="00E713D6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05DD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O</w:t>
      </w:r>
      <w:r w:rsidRPr="00405DD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bservation 2: To meet the multiplexing capability of the IAB node, once either the IAB-MT or the IAB-DU updates its resource configuration, the peer side needs to update the resource configuration accordingly.</w:t>
      </w:r>
    </w:p>
    <w:p w14:paraId="3DE4EF71" w14:textId="2FB18189" w:rsidR="00AA7747" w:rsidRDefault="00AA7747" w:rsidP="00E713D6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During the IAB-MT3 migration, </w:t>
      </w:r>
      <w:r w:rsidR="00446E30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resource configuration of IAB-MT3 may be updated via the handover command. Or </w:t>
      </w:r>
      <w:r w:rsidR="00191493">
        <w:rPr>
          <w:rFonts w:ascii="Times New Roman" w:eastAsia="宋体" w:hAnsi="Times New Roman" w:cs="Times New Roman"/>
          <w:kern w:val="0"/>
          <w:sz w:val="20"/>
          <w:szCs w:val="20"/>
        </w:rPr>
        <w:t>after</w:t>
      </w:r>
      <w:r w:rsidR="00446E30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IAB-MT3 has migrated to the CU2, the resource configuration of IAB-MT3 may be </w:t>
      </w:r>
      <w:r w:rsidR="00191493">
        <w:rPr>
          <w:rFonts w:ascii="Times New Roman" w:eastAsia="宋体" w:hAnsi="Times New Roman" w:cs="Times New Roman"/>
          <w:kern w:val="0"/>
          <w:sz w:val="20"/>
          <w:szCs w:val="20"/>
        </w:rPr>
        <w:t xml:space="preserve">also </w:t>
      </w:r>
      <w:r w:rsidR="00446E30">
        <w:rPr>
          <w:rFonts w:ascii="Times New Roman" w:eastAsia="宋体" w:hAnsi="Times New Roman" w:cs="Times New Roman"/>
          <w:kern w:val="0"/>
          <w:sz w:val="20"/>
          <w:szCs w:val="20"/>
        </w:rPr>
        <w:t xml:space="preserve">reconfigured </w:t>
      </w:r>
      <w:r w:rsidR="00446E30" w:rsidRPr="00446E30">
        <w:rPr>
          <w:rFonts w:ascii="Times New Roman" w:eastAsia="宋体" w:hAnsi="Times New Roman" w:cs="Times New Roman"/>
          <w:kern w:val="0"/>
          <w:sz w:val="20"/>
          <w:szCs w:val="20"/>
        </w:rPr>
        <w:t>occasionally</w:t>
      </w:r>
      <w:r w:rsidR="00446E30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191493">
        <w:rPr>
          <w:rFonts w:ascii="Times New Roman" w:eastAsia="宋体" w:hAnsi="Times New Roman" w:cs="Times New Roman"/>
          <w:kern w:val="0"/>
          <w:sz w:val="20"/>
          <w:szCs w:val="20"/>
        </w:rPr>
        <w:t>CU1 needs to be aware of the updated resource configuration of IAB-MT3 so as to update the resource configuration of IAB-DU3.</w:t>
      </w:r>
    </w:p>
    <w:p w14:paraId="721DCBAE" w14:textId="5ADB9EF0" w:rsidR="00191493" w:rsidRPr="00C03CDD" w:rsidRDefault="00191493" w:rsidP="0019149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03CD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</w:t>
      </w:r>
      <w:r w:rsidR="00C03CDD" w:rsidRP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the IAB node which MT and DU subject to different </w:t>
      </w:r>
      <w:r w:rsid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CUs</w:t>
      </w:r>
      <w:r w:rsidR="00C03CDD" w:rsidRP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</w:t>
      </w:r>
      <w:r w:rsidRP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CU which terminates the F1 connection</w:t>
      </w:r>
      <w:r w:rsidRP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needs to be aware of the updated resource configuration of MT so as to update the resource configuration of DU.</w:t>
      </w:r>
    </w:p>
    <w:p w14:paraId="12398045" w14:textId="019EA126" w:rsidR="00AA7747" w:rsidRPr="00C03CDD" w:rsidRDefault="00E813D0" w:rsidP="00E713D6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the same way when the resource configuration of IAB-DU3 is reconfigured, target parent IAB node needs to be aware of the updated resource configuration of IAB-DU3 so as to update the resource configuration of IAB-MT3.</w:t>
      </w:r>
      <w:r w:rsidR="00622F46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addition, </w:t>
      </w:r>
      <w:r w:rsidR="00E05C5B">
        <w:rPr>
          <w:rFonts w:ascii="Times New Roman" w:eastAsia="宋体" w:hAnsi="Times New Roman" w:cs="Times New Roman"/>
          <w:kern w:val="0"/>
          <w:sz w:val="20"/>
          <w:szCs w:val="20"/>
        </w:rPr>
        <w:t>target parent IAB node shall be notified with the multiplexing capability of the IAB node.</w:t>
      </w:r>
    </w:p>
    <w:p w14:paraId="0B398377" w14:textId="63192658" w:rsidR="00E713D6" w:rsidRPr="004D3E8D" w:rsidRDefault="00622F46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03CD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For the IAB node which MT and DU subject to different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CUs</w:t>
      </w:r>
      <w:r w:rsidRP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,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target parent node </w:t>
      </w:r>
      <w:r w:rsidRP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needs to be aware of the updated resource configuration of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DU</w:t>
      </w:r>
      <w:r w:rsidR="00E05C5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as well as the </w:t>
      </w:r>
      <w:r w:rsidR="00E05C5B" w:rsidRPr="00E05C5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multiplexing capability of the IAB node</w:t>
      </w:r>
      <w:r w:rsidRP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so as to update the resource configuration of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MT</w:t>
      </w:r>
      <w:r w:rsidRP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30C5E83F" w14:textId="4D3A6116" w:rsidR="003D66D4" w:rsidRDefault="003D66D4" w:rsidP="003D66D4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B32A7">
        <w:rPr>
          <w:rFonts w:ascii="Times New Roman" w:hAnsi="Times New Roman" w:cs="Times New Roman"/>
          <w:noProof/>
        </w:rPr>
        <w:drawing>
          <wp:inline distT="0" distB="0" distL="0" distR="0" wp14:anchorId="6E1AFE42" wp14:editId="1C990F35">
            <wp:extent cx="2698750" cy="1913890"/>
            <wp:effectExtent l="0" t="0" r="0" b="0"/>
            <wp:docPr id="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8750" cy="191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AB78C9" w14:textId="7038006A" w:rsidR="003D66D4" w:rsidRPr="003D66D4" w:rsidRDefault="003D66D4" w:rsidP="003D66D4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igure 1: An example for top-level IAB-MT inter-donor migration</w:t>
      </w:r>
    </w:p>
    <w:p w14:paraId="13A19A98" w14:textId="4087075A" w:rsidR="006E530D" w:rsidRPr="006141DC" w:rsidRDefault="006141DC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6141DC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UL routing and bearer mapping configuration for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migration </w:t>
      </w:r>
      <w:r w:rsidRPr="006141DC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IAB-MT</w:t>
      </w:r>
    </w:p>
    <w:p w14:paraId="77FE55B5" w14:textId="2799ADB0" w:rsidR="00C01559" w:rsidRDefault="00725ABE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R16, BAP routing and bearer mapping for BAP entity are configured by the IAB-donor-CU via F1AP signaling both for the UL(MT) and DL(DU), except for the UL default configuration</w:t>
      </w:r>
      <w:r w:rsidR="00C62A74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which configured by RRC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144EFB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IAB node delivers the UL BAP routing and bearer mapping from DU to</w:t>
      </w:r>
      <w:r w:rsidR="00FB4272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</w:t>
      </w:r>
      <w:r w:rsidR="00144EFB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FB4272" w:rsidRPr="006E530D">
        <w:rPr>
          <w:rFonts w:ascii="Times New Roman" w:eastAsia="宋体" w:hAnsi="Times New Roman" w:cs="Times New Roman"/>
          <w:kern w:val="0"/>
          <w:sz w:val="20"/>
          <w:szCs w:val="20"/>
        </w:rPr>
        <w:t>collocated</w:t>
      </w:r>
      <w:r w:rsidR="00FB427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44EFB">
        <w:rPr>
          <w:rFonts w:ascii="Times New Roman" w:eastAsia="宋体" w:hAnsi="Times New Roman" w:cs="Times New Roman"/>
          <w:kern w:val="0"/>
          <w:sz w:val="20"/>
          <w:szCs w:val="20"/>
        </w:rPr>
        <w:t>MT via the internal interface.</w:t>
      </w:r>
      <w:r w:rsidR="00144EF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</w:p>
    <w:p w14:paraId="60087815" w14:textId="7E272858" w:rsidR="006141DC" w:rsidRDefault="00144EFB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However, for the migration IAB node which MT and DU subject to different CUs, the legacy way for UL BAP routing and bearer mapping configuration is no longer suitable.</w:t>
      </w:r>
      <w:r w:rsidR="00C01559">
        <w:rPr>
          <w:rFonts w:ascii="Times New Roman" w:eastAsia="宋体" w:hAnsi="Times New Roman" w:cs="Times New Roman"/>
          <w:kern w:val="0"/>
          <w:sz w:val="20"/>
          <w:szCs w:val="20"/>
        </w:rPr>
        <w:t xml:space="preserve"> Firstly, </w:t>
      </w:r>
      <w:r w:rsidR="0018496D">
        <w:rPr>
          <w:rFonts w:ascii="Times New Roman" w:eastAsia="宋体" w:hAnsi="Times New Roman" w:cs="Times New Roman"/>
          <w:kern w:val="0"/>
          <w:sz w:val="20"/>
          <w:szCs w:val="20"/>
        </w:rPr>
        <w:t xml:space="preserve">when it comes to the configuration entity, </w:t>
      </w:r>
      <w:r w:rsidR="00245EF5">
        <w:rPr>
          <w:rFonts w:ascii="Times New Roman" w:eastAsia="宋体" w:hAnsi="Times New Roman" w:cs="Times New Roman"/>
          <w:kern w:val="0"/>
          <w:sz w:val="20"/>
          <w:szCs w:val="20"/>
        </w:rPr>
        <w:t>target CU2 is preferred t</w:t>
      </w:r>
      <w:r w:rsidR="00DB72A0">
        <w:rPr>
          <w:rFonts w:ascii="Times New Roman" w:eastAsia="宋体" w:hAnsi="Times New Roman" w:cs="Times New Roman"/>
          <w:kern w:val="0"/>
          <w:sz w:val="20"/>
          <w:szCs w:val="20"/>
        </w:rPr>
        <w:t>han</w:t>
      </w:r>
      <w:r w:rsidR="00245EF5">
        <w:rPr>
          <w:rFonts w:ascii="Times New Roman" w:eastAsia="宋体" w:hAnsi="Times New Roman" w:cs="Times New Roman"/>
          <w:kern w:val="0"/>
          <w:sz w:val="20"/>
          <w:szCs w:val="20"/>
        </w:rPr>
        <w:t xml:space="preserve"> source CU1 since MT has migrated </w:t>
      </w:r>
      <w:r w:rsidR="00DB72A0">
        <w:rPr>
          <w:rFonts w:ascii="Times New Roman" w:eastAsia="宋体" w:hAnsi="Times New Roman" w:cs="Times New Roman"/>
          <w:kern w:val="0"/>
          <w:sz w:val="20"/>
          <w:szCs w:val="20"/>
        </w:rPr>
        <w:t xml:space="preserve">from source CU1 </w:t>
      </w:r>
      <w:r w:rsidR="00245EF5">
        <w:rPr>
          <w:rFonts w:ascii="Times New Roman" w:eastAsia="宋体" w:hAnsi="Times New Roman" w:cs="Times New Roman"/>
          <w:kern w:val="0"/>
          <w:sz w:val="20"/>
          <w:szCs w:val="20"/>
        </w:rPr>
        <w:t xml:space="preserve">to </w:t>
      </w:r>
      <w:r w:rsidR="00DB72A0">
        <w:rPr>
          <w:rFonts w:ascii="Times New Roman" w:eastAsia="宋体" w:hAnsi="Times New Roman" w:cs="Times New Roman"/>
          <w:kern w:val="0"/>
          <w:sz w:val="20"/>
          <w:szCs w:val="20"/>
        </w:rPr>
        <w:t xml:space="preserve">target </w:t>
      </w:r>
      <w:r w:rsidR="00245EF5">
        <w:rPr>
          <w:rFonts w:ascii="Times New Roman" w:eastAsia="宋体" w:hAnsi="Times New Roman" w:cs="Times New Roman"/>
          <w:kern w:val="0"/>
          <w:sz w:val="20"/>
          <w:szCs w:val="20"/>
        </w:rPr>
        <w:t>CU2.</w:t>
      </w:r>
    </w:p>
    <w:p w14:paraId="1197EED5" w14:textId="5DA62E9C" w:rsidR="00245EF5" w:rsidRPr="00B2702C" w:rsidRDefault="00245EF5" w:rsidP="00245EF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270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</w:t>
      </w:r>
      <w:r w:rsidR="00B270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Pr="00B270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3: For the IAB node which MT and DU subject to different</w:t>
      </w:r>
      <w:r w:rsidR="00B270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CU</w:t>
      </w:r>
      <w:r w:rsidRPr="00B270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s, the UL routing and bearer mapping configurations are determined by the </w:t>
      </w:r>
      <w:r w:rsidR="00B270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CU</w:t>
      </w:r>
      <w:r w:rsidRPr="00B270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which MT connected.</w:t>
      </w:r>
    </w:p>
    <w:p w14:paraId="6F5C39D8" w14:textId="25081439" w:rsidR="0054197C" w:rsidRPr="00144EFB" w:rsidRDefault="00DB72A0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But the target CU2 does have the F1 connection with migration IAB node</w:t>
      </w:r>
      <w:r w:rsidR="00631526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configuration cannot be transported to IAB node via the F1AP signaling. </w:t>
      </w:r>
      <w:r w:rsidR="00AD58B4">
        <w:rPr>
          <w:rFonts w:ascii="Times New Roman" w:eastAsia="宋体" w:hAnsi="Times New Roman" w:cs="Times New Roman"/>
          <w:kern w:val="0"/>
          <w:sz w:val="20"/>
          <w:szCs w:val="20"/>
        </w:rPr>
        <w:t xml:space="preserve">Thus, how to transport the configuration between IAB node and target CU2 need to be studied. One straightforward method is to use the RRC message directly between CU2 and IAB-MT3. Alternatively, the configuration </w:t>
      </w:r>
      <w:r w:rsidR="002436E7">
        <w:rPr>
          <w:rFonts w:ascii="Times New Roman" w:eastAsia="宋体" w:hAnsi="Times New Roman" w:cs="Times New Roman"/>
          <w:kern w:val="0"/>
          <w:sz w:val="20"/>
          <w:szCs w:val="20"/>
        </w:rPr>
        <w:t xml:space="preserve">which </w:t>
      </w:r>
      <w:r w:rsidR="00AD58B4">
        <w:rPr>
          <w:rFonts w:ascii="Times New Roman" w:eastAsia="宋体" w:hAnsi="Times New Roman" w:cs="Times New Roman"/>
          <w:kern w:val="0"/>
          <w:sz w:val="20"/>
          <w:szCs w:val="20"/>
        </w:rPr>
        <w:t>generated by the CU2 can</w:t>
      </w:r>
      <w:r w:rsidR="002436E7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</w:t>
      </w:r>
      <w:r w:rsidR="00AD58B4">
        <w:rPr>
          <w:rFonts w:ascii="Times New Roman" w:eastAsia="宋体" w:hAnsi="Times New Roman" w:cs="Times New Roman"/>
          <w:kern w:val="0"/>
          <w:sz w:val="20"/>
          <w:szCs w:val="20"/>
        </w:rPr>
        <w:t xml:space="preserve"> firstly </w:t>
      </w:r>
      <w:r w:rsidR="002436E7">
        <w:rPr>
          <w:rFonts w:ascii="Times New Roman" w:eastAsia="宋体" w:hAnsi="Times New Roman" w:cs="Times New Roman"/>
          <w:kern w:val="0"/>
          <w:sz w:val="20"/>
          <w:szCs w:val="20"/>
        </w:rPr>
        <w:t>transported to CU1 and then forward</w:t>
      </w:r>
      <w:r w:rsidR="002436E7" w:rsidRPr="002436E7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the IAB-node via F1AP</w:t>
      </w:r>
      <w:r w:rsidR="002436E7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2EEFEDD1" w14:textId="29C7B98E" w:rsidR="00E713D6" w:rsidRPr="00C66D02" w:rsidRDefault="00E713D6" w:rsidP="00E713D6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</w:t>
      </w:r>
      <w:r w:rsid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4: The generated </w:t>
      </w:r>
      <w:bookmarkStart w:id="5" w:name="OLE_LINK19"/>
      <w:bookmarkStart w:id="6" w:name="OLE_LINK20"/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UL routing and bearer mapping configurations</w:t>
      </w:r>
      <w:bookmarkEnd w:id="5"/>
      <w:bookmarkEnd w:id="6"/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be delivered to the IAB-MT via the following two candidate options.</w:t>
      </w:r>
    </w:p>
    <w:p w14:paraId="4583406B" w14:textId="27EC0226" w:rsidR="00E713D6" w:rsidRPr="00C66D02" w:rsidRDefault="00E713D6" w:rsidP="00C66D02">
      <w:pPr>
        <w:pStyle w:val="ac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Opt1: the target</w:t>
      </w:r>
      <w:r w:rsid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CU</w:t>
      </w:r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configur</w:t>
      </w:r>
      <w:r w:rsidR="00AD58B4"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e </w:t>
      </w:r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configuration to the IAB-MT directly via RRC</w:t>
      </w:r>
    </w:p>
    <w:p w14:paraId="145F79B7" w14:textId="0FAA5870" w:rsidR="00E713D6" w:rsidRPr="00C66D02" w:rsidRDefault="00E713D6" w:rsidP="00C66D02">
      <w:pPr>
        <w:pStyle w:val="ac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Opt2: the configurations are sent to source </w:t>
      </w:r>
      <w:r w:rsid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CU</w:t>
      </w:r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then </w:t>
      </w:r>
      <w:r w:rsid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forward</w:t>
      </w:r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the IAB-node via F1AP</w:t>
      </w:r>
    </w:p>
    <w:p w14:paraId="1F2565C6" w14:textId="655407EE" w:rsidR="00B72814" w:rsidRDefault="00B72814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 agreed in the RAN3 111-e meeting for IAB topology redundancy:</w:t>
      </w:r>
    </w:p>
    <w:tbl>
      <w:tblPr>
        <w:tblW w:w="0" w:type="auto"/>
        <w:tblInd w:w="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50"/>
      </w:tblGrid>
      <w:tr w:rsidR="00B72814" w14:paraId="6B318ACA" w14:textId="77777777" w:rsidTr="00B72814">
        <w:trPr>
          <w:trHeight w:val="833"/>
        </w:trPr>
        <w:tc>
          <w:tcPr>
            <w:tcW w:w="9550" w:type="dxa"/>
          </w:tcPr>
          <w:p w14:paraId="16202B80" w14:textId="4A276B81" w:rsidR="00B72814" w:rsidRPr="00B72814" w:rsidRDefault="00B72814" w:rsidP="00B72814">
            <w:pPr>
              <w:ind w:left="144" w:hanging="144"/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</w:pPr>
            <w:r w:rsidRPr="00B72814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>To support the bearer mapping across two topologies at the boundary IAB node, the non-F1-termination donor CU needs to provide the ingress BH RLC CH ID(s) for DL traffic and egress BH RLC CH ID(s) for UL traffic to the F1-termination donor CU.</w:t>
            </w:r>
          </w:p>
        </w:tc>
      </w:tr>
    </w:tbl>
    <w:p w14:paraId="6BF5DD16" w14:textId="0266547F" w:rsidR="00B72814" w:rsidRDefault="00B72814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lastRenderedPageBreak/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or the DL </w:t>
      </w:r>
      <w:r w:rsidRPr="00B72814">
        <w:rPr>
          <w:rFonts w:ascii="Times New Roman" w:eastAsia="宋体" w:hAnsi="Times New Roman" w:cs="Times New Roman"/>
          <w:kern w:val="0"/>
          <w:sz w:val="20"/>
          <w:szCs w:val="20"/>
        </w:rPr>
        <w:t>bearer mapping configurations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the migration IAB-DU, it is similar to the scenario of IAB topology redundancy, </w:t>
      </w:r>
      <w:r w:rsidRPr="00B72814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CU2 (</w:t>
      </w:r>
      <w:r w:rsidRPr="00B72814">
        <w:rPr>
          <w:rFonts w:ascii="Times New Roman" w:eastAsia="宋体" w:hAnsi="Times New Roman" w:cs="Times New Roman"/>
          <w:kern w:val="0"/>
          <w:sz w:val="20"/>
          <w:szCs w:val="20"/>
        </w:rPr>
        <w:t>non-F1-termination donor CU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)</w:t>
      </w:r>
      <w:r w:rsidRPr="00B72814">
        <w:rPr>
          <w:rFonts w:ascii="Times New Roman" w:eastAsia="宋体" w:hAnsi="Times New Roman" w:cs="Times New Roman"/>
          <w:kern w:val="0"/>
          <w:sz w:val="20"/>
          <w:szCs w:val="20"/>
        </w:rPr>
        <w:t xml:space="preserve"> needs to provide the ingress BH RLC CH ID(s) for DL traffic to the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CU1 (</w:t>
      </w:r>
      <w:r w:rsidRPr="00B72814">
        <w:rPr>
          <w:rFonts w:ascii="Times New Roman" w:eastAsia="宋体" w:hAnsi="Times New Roman" w:cs="Times New Roman"/>
          <w:kern w:val="0"/>
          <w:sz w:val="20"/>
          <w:szCs w:val="20"/>
        </w:rPr>
        <w:t>F1-termination donor CU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)</w:t>
      </w:r>
      <w:r w:rsidRPr="00B72814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AC88F4A" w14:textId="2AC440D0" w:rsidR="00B72814" w:rsidRDefault="00B72814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W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hile for the UL </w:t>
      </w:r>
      <w:r w:rsidRPr="00B72814">
        <w:rPr>
          <w:rFonts w:ascii="Times New Roman" w:eastAsia="宋体" w:hAnsi="Times New Roman" w:cs="Times New Roman"/>
          <w:kern w:val="0"/>
          <w:sz w:val="20"/>
          <w:szCs w:val="20"/>
        </w:rPr>
        <w:t>bearer mapping configurations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the migration IAB-MT, it is j</w:t>
      </w:r>
      <w:r w:rsidRPr="00B72814">
        <w:rPr>
          <w:rFonts w:ascii="Times New Roman" w:eastAsia="宋体" w:hAnsi="Times New Roman" w:cs="Times New Roman"/>
          <w:kern w:val="0"/>
          <w:sz w:val="20"/>
          <w:szCs w:val="20"/>
        </w:rPr>
        <w:t xml:space="preserve">ust the opposite of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solution for DL. </w:t>
      </w:r>
      <w:r w:rsidR="00EE33D8">
        <w:rPr>
          <w:rFonts w:ascii="Times New Roman" w:eastAsia="宋体" w:hAnsi="Times New Roman" w:cs="Times New Roman"/>
          <w:kern w:val="0"/>
          <w:sz w:val="20"/>
          <w:szCs w:val="20"/>
        </w:rPr>
        <w:t>The CU1 (</w:t>
      </w:r>
      <w:r w:rsidR="00EE33D8" w:rsidRPr="00B72814">
        <w:rPr>
          <w:rFonts w:ascii="Times New Roman" w:eastAsia="宋体" w:hAnsi="Times New Roman" w:cs="Times New Roman"/>
          <w:kern w:val="0"/>
          <w:sz w:val="20"/>
          <w:szCs w:val="20"/>
        </w:rPr>
        <w:t>F1-termination donor CU</w:t>
      </w:r>
      <w:r w:rsidR="00EE33D8">
        <w:rPr>
          <w:rFonts w:ascii="Times New Roman" w:eastAsia="宋体" w:hAnsi="Times New Roman" w:cs="Times New Roman"/>
          <w:kern w:val="0"/>
          <w:sz w:val="20"/>
          <w:szCs w:val="20"/>
        </w:rPr>
        <w:t xml:space="preserve">) needs to </w:t>
      </w:r>
      <w:r w:rsidR="00EE33D8" w:rsidRPr="00EE33D8">
        <w:rPr>
          <w:rFonts w:ascii="Times New Roman" w:eastAsia="宋体" w:hAnsi="Times New Roman" w:cs="Times New Roman"/>
          <w:kern w:val="0"/>
          <w:sz w:val="20"/>
          <w:szCs w:val="20"/>
        </w:rPr>
        <w:t xml:space="preserve">provide the egress BH RLC CH ID(s) for UL traffic to the </w:t>
      </w:r>
      <w:r w:rsidR="00EE33D8">
        <w:rPr>
          <w:rFonts w:ascii="Times New Roman" w:eastAsia="宋体" w:hAnsi="Times New Roman" w:cs="Times New Roman"/>
          <w:kern w:val="0"/>
          <w:sz w:val="20"/>
          <w:szCs w:val="20"/>
        </w:rPr>
        <w:t>CU2 (</w:t>
      </w:r>
      <w:r w:rsidR="00EE33D8" w:rsidRPr="00EE33D8">
        <w:rPr>
          <w:rFonts w:ascii="Times New Roman" w:eastAsia="宋体" w:hAnsi="Times New Roman" w:cs="Times New Roman"/>
          <w:kern w:val="0"/>
          <w:sz w:val="20"/>
          <w:szCs w:val="20"/>
        </w:rPr>
        <w:t>F1-termination donor CU</w:t>
      </w:r>
      <w:r w:rsidR="00EE33D8">
        <w:rPr>
          <w:rFonts w:ascii="Times New Roman" w:eastAsia="宋体" w:hAnsi="Times New Roman" w:cs="Times New Roman"/>
          <w:kern w:val="0"/>
          <w:sz w:val="20"/>
          <w:szCs w:val="20"/>
        </w:rPr>
        <w:t>).</w:t>
      </w:r>
    </w:p>
    <w:p w14:paraId="54220350" w14:textId="7FE04C91" w:rsidR="00EE33D8" w:rsidRDefault="00EE33D8" w:rsidP="006E530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5</w:t>
      </w:r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B72814" w:rsidRPr="00B7281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To support the bearer mapping across two topologies at the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migration</w:t>
      </w:r>
      <w:r w:rsidR="00B72814" w:rsidRPr="00B7281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 node</w:t>
      </w:r>
      <w:r w:rsidR="00FE742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</w:t>
      </w:r>
    </w:p>
    <w:p w14:paraId="5A7216B7" w14:textId="1E478963" w:rsidR="00EE33D8" w:rsidRPr="00EE33D8" w:rsidRDefault="00EE33D8" w:rsidP="00EE33D8">
      <w:pPr>
        <w:pStyle w:val="ac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E33D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non-F1-termination donor CU needs to provide the ingress BH RLC CH ID(s) for DL traffic to the F1-termination donor CU</w:t>
      </w:r>
    </w:p>
    <w:p w14:paraId="072C43E2" w14:textId="0C09DF0E" w:rsidR="00EE33D8" w:rsidRPr="00EE33D8" w:rsidRDefault="00EE33D8" w:rsidP="00EE33D8">
      <w:pPr>
        <w:pStyle w:val="ac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</w:t>
      </w:r>
      <w:r w:rsidRPr="00EE33D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F1-termination donor CU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EE33D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needs to provide the egress BH RLC CH ID(s) for UL traffic to the F1-termination donor CU</w:t>
      </w:r>
    </w:p>
    <w:bookmarkEnd w:id="2"/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30DC02AA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contribution aims to analyze the </w:t>
      </w:r>
      <w:r w:rsidR="00E6128E">
        <w:rPr>
          <w:rFonts w:ascii="Times New Roman" w:eastAsia="宋体" w:hAnsi="Times New Roman" w:cs="Times New Roman"/>
          <w:kern w:val="0"/>
          <w:sz w:val="20"/>
          <w:szCs w:val="20"/>
        </w:rPr>
        <w:t>IAB inter-donor migration, including resource collision, UL routing and bearer mapping for the migrating IAB node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</w:p>
    <w:p w14:paraId="6B142136" w14:textId="77777777" w:rsidR="00E6128E" w:rsidRPr="00E713D6" w:rsidRDefault="00E6128E" w:rsidP="00E6128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713D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Observation 1: For the IAB node which MT and DU subject to different IAB-donor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-CU</w:t>
      </w:r>
      <w:r w:rsidRPr="00E713D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s, the resource configuration of the MT is generated by the target parent IAB node, while the resource configuration of the DU is generated by the source IAB donor.</w:t>
      </w:r>
    </w:p>
    <w:p w14:paraId="7E4B0E99" w14:textId="77777777" w:rsidR="00E6128E" w:rsidRPr="00446E30" w:rsidRDefault="00E6128E" w:rsidP="00E6128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05DD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405DD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bservation 2: To meet the multiplexing capability of the IAB node, once either the IAB-MT or the IAB-DU updates its resource configuration, the peer side needs to update the resource configuration accordingly.</w:t>
      </w:r>
    </w:p>
    <w:p w14:paraId="207BF8B2" w14:textId="77777777" w:rsidR="00E6128E" w:rsidRPr="00C03CDD" w:rsidRDefault="00E6128E" w:rsidP="00E6128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03CD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For the IAB node which MT and DU subject to different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CUs</w:t>
      </w:r>
      <w:r w:rsidRP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,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CU which terminates the F1 connection</w:t>
      </w:r>
      <w:r w:rsidRP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needs to be aware of the updated resource configuration of MT so as to update the resource configuration of DU.</w:t>
      </w:r>
    </w:p>
    <w:p w14:paraId="4F009AE8" w14:textId="5C1935DC" w:rsidR="00E6128E" w:rsidRDefault="00E6128E" w:rsidP="00E6128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03CD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For the IAB node which MT and DU subject to different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CUs</w:t>
      </w:r>
      <w:r w:rsidRP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,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target parent node </w:t>
      </w:r>
      <w:r w:rsidRP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needs to be aware of the updated resource configuration of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DU as well as the </w:t>
      </w:r>
      <w:r w:rsidRPr="00E05C5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multiplexing capability of the IAB node</w:t>
      </w:r>
      <w:r w:rsidRP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so as to update the resource configuration of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MT</w:t>
      </w:r>
      <w:r w:rsidRPr="00C03CD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3F02B18A" w14:textId="77777777" w:rsidR="00C51572" w:rsidRPr="00B2702C" w:rsidRDefault="00C51572" w:rsidP="00C5157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270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Pr="00B270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3: For the IAB node which MT and DU subject to different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CU</w:t>
      </w:r>
      <w:r w:rsidRPr="00B270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s, the UL routing and bearer mapping configurations are determined by the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CU</w:t>
      </w:r>
      <w:r w:rsidRPr="00B270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which MT connected.</w:t>
      </w:r>
    </w:p>
    <w:p w14:paraId="6561C276" w14:textId="77777777" w:rsidR="00C51572" w:rsidRPr="00C66D02" w:rsidRDefault="00C51572" w:rsidP="00C5157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4: The generated UL routing and bearer mapping configurations can be delivered to the IAB-MT via the following two candidate options.</w:t>
      </w:r>
    </w:p>
    <w:p w14:paraId="726E2612" w14:textId="77777777" w:rsidR="00C51572" w:rsidRPr="00C66D02" w:rsidRDefault="00C51572" w:rsidP="00C51572">
      <w:pPr>
        <w:pStyle w:val="ac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Opt1: the target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CU</w:t>
      </w:r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configure the configuration to the IAB-MT directly via RRC</w:t>
      </w:r>
    </w:p>
    <w:p w14:paraId="06B76E63" w14:textId="77777777" w:rsidR="00C51572" w:rsidRPr="00C66D02" w:rsidRDefault="00C51572" w:rsidP="00C51572">
      <w:pPr>
        <w:pStyle w:val="ac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Opt2: the configurations are sent to source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CU</w:t>
      </w:r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then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forward</w:t>
      </w:r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the IAB-node via F1AP</w:t>
      </w:r>
    </w:p>
    <w:p w14:paraId="50EB773C" w14:textId="4EF96601" w:rsidR="00EE33D8" w:rsidRDefault="00EE33D8" w:rsidP="00EE33D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5</w:t>
      </w:r>
      <w:r w:rsidRPr="00C66D0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B7281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To support the bearer mapping across two topologies at the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migration</w:t>
      </w:r>
      <w:r w:rsidRPr="00B7281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 node</w:t>
      </w:r>
      <w:r w:rsidR="00FE742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</w:t>
      </w:r>
    </w:p>
    <w:p w14:paraId="744A1A6D" w14:textId="77777777" w:rsidR="00EE33D8" w:rsidRPr="00EE33D8" w:rsidRDefault="00EE33D8" w:rsidP="00EE33D8">
      <w:pPr>
        <w:pStyle w:val="ac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E33D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non-F1-termination donor CU needs to provide the ingress BH RLC CH ID(s) for DL traffic to the F1-termination donor CU</w:t>
      </w:r>
    </w:p>
    <w:p w14:paraId="4E34147C" w14:textId="3B6EC798" w:rsidR="00C51572" w:rsidRPr="00EE33D8" w:rsidRDefault="00EE33D8" w:rsidP="00E6128E">
      <w:pPr>
        <w:pStyle w:val="ac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</w:t>
      </w:r>
      <w:r w:rsidRPr="00EE33D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F1-termination donor CU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EE33D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needs to provide the egress BH RLC CH ID(s) for UL traffic to the F1-termination donor CU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479D6653" w14:textId="5E3065E5" w:rsidR="0084197E" w:rsidRDefault="0084197E" w:rsidP="003179AD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</w:t>
      </w:r>
      <w:r w:rsidR="000B7397">
        <w:rPr>
          <w:rFonts w:ascii="Times New Roman" w:eastAsia="宋体" w:hAnsi="Times New Roman" w:cs="Times New Roman"/>
          <w:kern w:val="0"/>
          <w:sz w:val="20"/>
          <w:lang w:val="x-none"/>
        </w:rPr>
        <w:t>1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e-meeting.</w:t>
      </w:r>
    </w:p>
    <w:p w14:paraId="7C4EA042" w14:textId="76798691" w:rsidR="00A04D91" w:rsidRDefault="00A04D91" w:rsidP="003179AD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A04D91">
        <w:rPr>
          <w:rFonts w:ascii="Times New Roman" w:eastAsia="宋体" w:hAnsi="Times New Roman" w:cs="Times New Roman"/>
          <w:kern w:val="0"/>
          <w:sz w:val="20"/>
          <w:lang w:val="x-none"/>
        </w:rPr>
        <w:t>R3-2</w:t>
      </w:r>
      <w:r w:rsidR="000363D0">
        <w:rPr>
          <w:rFonts w:ascii="Times New Roman" w:eastAsia="宋体" w:hAnsi="Times New Roman" w:cs="Times New Roman"/>
          <w:kern w:val="0"/>
          <w:sz w:val="20"/>
          <w:lang w:val="x-none"/>
        </w:rPr>
        <w:t>11199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="000363D0" w:rsidRPr="000363D0">
        <w:rPr>
          <w:rFonts w:ascii="Times New Roman" w:eastAsia="宋体" w:hAnsi="Times New Roman" w:cs="Times New Roman"/>
          <w:kern w:val="0"/>
          <w:sz w:val="20"/>
          <w:lang w:val="x-none"/>
        </w:rPr>
        <w:t>CB#34 IAB_MigrationProcedureDetails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="000363D0">
        <w:rPr>
          <w:rFonts w:ascii="Times New Roman" w:eastAsia="宋体" w:hAnsi="Times New Roman" w:cs="Times New Roman"/>
          <w:kern w:val="0"/>
          <w:sz w:val="20"/>
          <w:lang w:val="x-none"/>
        </w:rPr>
        <w:t>Qualcomm</w:t>
      </w:r>
      <w:r w:rsidRPr="00A04D91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(moderator)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p w14:paraId="4B9E3127" w14:textId="01C1EE9E" w:rsidR="00953570" w:rsidRPr="003179AD" w:rsidRDefault="00953570" w:rsidP="000B7397">
      <w:pPr>
        <w:widowControl/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</w:p>
    <w:sectPr w:rsidR="00953570" w:rsidRPr="003179AD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15FE33" w14:textId="77777777" w:rsidR="00FE1F2D" w:rsidRDefault="00FE1F2D" w:rsidP="00AA3FAE">
      <w:r>
        <w:separator/>
      </w:r>
    </w:p>
  </w:endnote>
  <w:endnote w:type="continuationSeparator" w:id="0">
    <w:p w14:paraId="1EE0D750" w14:textId="77777777" w:rsidR="00FE1F2D" w:rsidRDefault="00FE1F2D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8E4DBB" w14:textId="77777777" w:rsidR="00FE1F2D" w:rsidRDefault="00FE1F2D" w:rsidP="00AA3FAE">
      <w:r>
        <w:separator/>
      </w:r>
    </w:p>
  </w:footnote>
  <w:footnote w:type="continuationSeparator" w:id="0">
    <w:p w14:paraId="05D5FCE7" w14:textId="77777777" w:rsidR="00FE1F2D" w:rsidRDefault="00FE1F2D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28B4656"/>
    <w:multiLevelType w:val="hybridMultilevel"/>
    <w:tmpl w:val="499C429C"/>
    <w:lvl w:ilvl="0" w:tplc="7D8E411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E254EF0"/>
    <w:multiLevelType w:val="hybridMultilevel"/>
    <w:tmpl w:val="21C294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E195582"/>
    <w:multiLevelType w:val="hybridMultilevel"/>
    <w:tmpl w:val="2E4C6712"/>
    <w:lvl w:ilvl="0" w:tplc="7D8E411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703A"/>
    <w:rsid w:val="00011F5D"/>
    <w:rsid w:val="00035328"/>
    <w:rsid w:val="000363D0"/>
    <w:rsid w:val="00047E11"/>
    <w:rsid w:val="000505CB"/>
    <w:rsid w:val="000507C7"/>
    <w:rsid w:val="000566E1"/>
    <w:rsid w:val="00060A16"/>
    <w:rsid w:val="0006683B"/>
    <w:rsid w:val="00073FB6"/>
    <w:rsid w:val="00090C05"/>
    <w:rsid w:val="000B1D18"/>
    <w:rsid w:val="000B7397"/>
    <w:rsid w:val="000B7C20"/>
    <w:rsid w:val="000C0305"/>
    <w:rsid w:val="000C0937"/>
    <w:rsid w:val="000C3F89"/>
    <w:rsid w:val="00111B28"/>
    <w:rsid w:val="001125C5"/>
    <w:rsid w:val="00144EFB"/>
    <w:rsid w:val="001556FC"/>
    <w:rsid w:val="0018496D"/>
    <w:rsid w:val="00190FAF"/>
    <w:rsid w:val="00191493"/>
    <w:rsid w:val="001A2383"/>
    <w:rsid w:val="001E6FC7"/>
    <w:rsid w:val="001F0325"/>
    <w:rsid w:val="001F5824"/>
    <w:rsid w:val="001F6266"/>
    <w:rsid w:val="00201E93"/>
    <w:rsid w:val="00213791"/>
    <w:rsid w:val="002436E7"/>
    <w:rsid w:val="00243EAF"/>
    <w:rsid w:val="0024433A"/>
    <w:rsid w:val="00245E3F"/>
    <w:rsid w:val="00245EF5"/>
    <w:rsid w:val="002500C6"/>
    <w:rsid w:val="00256265"/>
    <w:rsid w:val="00261529"/>
    <w:rsid w:val="002B2E1B"/>
    <w:rsid w:val="002B61AB"/>
    <w:rsid w:val="002C6DA5"/>
    <w:rsid w:val="002D6BE4"/>
    <w:rsid w:val="002F4481"/>
    <w:rsid w:val="002F7DD1"/>
    <w:rsid w:val="00304AB3"/>
    <w:rsid w:val="003179AD"/>
    <w:rsid w:val="0032255E"/>
    <w:rsid w:val="00340F49"/>
    <w:rsid w:val="00343D32"/>
    <w:rsid w:val="0036380C"/>
    <w:rsid w:val="00364AC3"/>
    <w:rsid w:val="003976B5"/>
    <w:rsid w:val="003A0B1A"/>
    <w:rsid w:val="003A4A2A"/>
    <w:rsid w:val="003A5735"/>
    <w:rsid w:val="003D66D4"/>
    <w:rsid w:val="0040415F"/>
    <w:rsid w:val="00405DD1"/>
    <w:rsid w:val="00415D56"/>
    <w:rsid w:val="00446E30"/>
    <w:rsid w:val="00461637"/>
    <w:rsid w:val="0046367F"/>
    <w:rsid w:val="004774BA"/>
    <w:rsid w:val="004A7B5F"/>
    <w:rsid w:val="004B28D8"/>
    <w:rsid w:val="004D3E8D"/>
    <w:rsid w:val="004E01D0"/>
    <w:rsid w:val="004F17F8"/>
    <w:rsid w:val="004F7753"/>
    <w:rsid w:val="004F7F21"/>
    <w:rsid w:val="00532DEC"/>
    <w:rsid w:val="005355E0"/>
    <w:rsid w:val="0054197C"/>
    <w:rsid w:val="00561F85"/>
    <w:rsid w:val="00564234"/>
    <w:rsid w:val="005734BC"/>
    <w:rsid w:val="00585005"/>
    <w:rsid w:val="005939B2"/>
    <w:rsid w:val="005A0141"/>
    <w:rsid w:val="005C686B"/>
    <w:rsid w:val="006141DC"/>
    <w:rsid w:val="00615F6D"/>
    <w:rsid w:val="00622F46"/>
    <w:rsid w:val="00631526"/>
    <w:rsid w:val="006577ED"/>
    <w:rsid w:val="00666EA1"/>
    <w:rsid w:val="00687695"/>
    <w:rsid w:val="006C1E84"/>
    <w:rsid w:val="006C24CC"/>
    <w:rsid w:val="006D11C5"/>
    <w:rsid w:val="006D2AEE"/>
    <w:rsid w:val="006E530D"/>
    <w:rsid w:val="006E7CED"/>
    <w:rsid w:val="00703BAA"/>
    <w:rsid w:val="00707369"/>
    <w:rsid w:val="00725ABE"/>
    <w:rsid w:val="007415A4"/>
    <w:rsid w:val="00747FD1"/>
    <w:rsid w:val="0078172C"/>
    <w:rsid w:val="007846F4"/>
    <w:rsid w:val="007D4575"/>
    <w:rsid w:val="0083439C"/>
    <w:rsid w:val="00835D29"/>
    <w:rsid w:val="0084197E"/>
    <w:rsid w:val="008522C2"/>
    <w:rsid w:val="00885223"/>
    <w:rsid w:val="0088742B"/>
    <w:rsid w:val="0089098B"/>
    <w:rsid w:val="0089705F"/>
    <w:rsid w:val="00926DCD"/>
    <w:rsid w:val="00952028"/>
    <w:rsid w:val="0095297E"/>
    <w:rsid w:val="00953570"/>
    <w:rsid w:val="009912C5"/>
    <w:rsid w:val="009C3C24"/>
    <w:rsid w:val="009C57CD"/>
    <w:rsid w:val="009D6382"/>
    <w:rsid w:val="009E506A"/>
    <w:rsid w:val="00A04D91"/>
    <w:rsid w:val="00A060BA"/>
    <w:rsid w:val="00A26D85"/>
    <w:rsid w:val="00A26E1D"/>
    <w:rsid w:val="00A46452"/>
    <w:rsid w:val="00A51D78"/>
    <w:rsid w:val="00A765AC"/>
    <w:rsid w:val="00A77D6B"/>
    <w:rsid w:val="00A85027"/>
    <w:rsid w:val="00A933F5"/>
    <w:rsid w:val="00AA03A0"/>
    <w:rsid w:val="00AA290B"/>
    <w:rsid w:val="00AA3FAE"/>
    <w:rsid w:val="00AA7747"/>
    <w:rsid w:val="00AA7EAE"/>
    <w:rsid w:val="00AB0A5A"/>
    <w:rsid w:val="00AC3051"/>
    <w:rsid w:val="00AD58B4"/>
    <w:rsid w:val="00AF7716"/>
    <w:rsid w:val="00B2364A"/>
    <w:rsid w:val="00B25314"/>
    <w:rsid w:val="00B2702C"/>
    <w:rsid w:val="00B33EE7"/>
    <w:rsid w:val="00B403D4"/>
    <w:rsid w:val="00B72814"/>
    <w:rsid w:val="00B83738"/>
    <w:rsid w:val="00B90697"/>
    <w:rsid w:val="00BA2D04"/>
    <w:rsid w:val="00BA3DFB"/>
    <w:rsid w:val="00BC28DE"/>
    <w:rsid w:val="00BC3B4F"/>
    <w:rsid w:val="00BD6E1F"/>
    <w:rsid w:val="00BE0BE9"/>
    <w:rsid w:val="00BE3D97"/>
    <w:rsid w:val="00BF33F7"/>
    <w:rsid w:val="00BF6DFF"/>
    <w:rsid w:val="00C01559"/>
    <w:rsid w:val="00C03CDD"/>
    <w:rsid w:val="00C31487"/>
    <w:rsid w:val="00C330D5"/>
    <w:rsid w:val="00C33EEF"/>
    <w:rsid w:val="00C447AC"/>
    <w:rsid w:val="00C51572"/>
    <w:rsid w:val="00C53D68"/>
    <w:rsid w:val="00C62A74"/>
    <w:rsid w:val="00C66D02"/>
    <w:rsid w:val="00C92F7E"/>
    <w:rsid w:val="00C97524"/>
    <w:rsid w:val="00C975EA"/>
    <w:rsid w:val="00CA2C1E"/>
    <w:rsid w:val="00CA2F8B"/>
    <w:rsid w:val="00CA3CE0"/>
    <w:rsid w:val="00CC0392"/>
    <w:rsid w:val="00CD3CA4"/>
    <w:rsid w:val="00CF4D2F"/>
    <w:rsid w:val="00D104F6"/>
    <w:rsid w:val="00D10A73"/>
    <w:rsid w:val="00D224C9"/>
    <w:rsid w:val="00D51E3A"/>
    <w:rsid w:val="00D523ED"/>
    <w:rsid w:val="00D52BCC"/>
    <w:rsid w:val="00D730A4"/>
    <w:rsid w:val="00D7562B"/>
    <w:rsid w:val="00D76F6E"/>
    <w:rsid w:val="00D84224"/>
    <w:rsid w:val="00D956D6"/>
    <w:rsid w:val="00DA1F42"/>
    <w:rsid w:val="00DB41E0"/>
    <w:rsid w:val="00DB72A0"/>
    <w:rsid w:val="00DC21C1"/>
    <w:rsid w:val="00DE67F4"/>
    <w:rsid w:val="00DF28E0"/>
    <w:rsid w:val="00DF66F0"/>
    <w:rsid w:val="00E05C5B"/>
    <w:rsid w:val="00E067C4"/>
    <w:rsid w:val="00E133EF"/>
    <w:rsid w:val="00E52A20"/>
    <w:rsid w:val="00E55D1E"/>
    <w:rsid w:val="00E609B5"/>
    <w:rsid w:val="00E6128E"/>
    <w:rsid w:val="00E706B6"/>
    <w:rsid w:val="00E713D6"/>
    <w:rsid w:val="00E813D0"/>
    <w:rsid w:val="00E95665"/>
    <w:rsid w:val="00EA73E5"/>
    <w:rsid w:val="00EE3198"/>
    <w:rsid w:val="00EE33D8"/>
    <w:rsid w:val="00EF57C9"/>
    <w:rsid w:val="00F52357"/>
    <w:rsid w:val="00F56AEB"/>
    <w:rsid w:val="00F6131B"/>
    <w:rsid w:val="00F67B2B"/>
    <w:rsid w:val="00F7451E"/>
    <w:rsid w:val="00F862F2"/>
    <w:rsid w:val="00F910F0"/>
    <w:rsid w:val="00FA440F"/>
    <w:rsid w:val="00FB4272"/>
    <w:rsid w:val="00FC144A"/>
    <w:rsid w:val="00FE1F2D"/>
    <w:rsid w:val="00FE7421"/>
    <w:rsid w:val="00FF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1638</TotalTime>
  <Pages>3</Pages>
  <Words>1372</Words>
  <Characters>7825</Characters>
  <Application>Microsoft Office Word</Application>
  <DocSecurity>0</DocSecurity>
  <Lines>65</Lines>
  <Paragraphs>18</Paragraphs>
  <ScaleCrop>false</ScaleCrop>
  <Company/>
  <LinksUpToDate>false</LinksUpToDate>
  <CharactersWithSpaces>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74</cp:revision>
  <dcterms:created xsi:type="dcterms:W3CDTF">2021-01-15T00:45:00Z</dcterms:created>
  <dcterms:modified xsi:type="dcterms:W3CDTF">2021-05-07T01:32:00Z</dcterms:modified>
</cp:coreProperties>
</file>